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B83B2A"/>
          <w:sz w:val="19"/>
        </w:rPr>
        <w:t>MODIFIABLE REQUEST FOR PROPOSALS (RFP) TEMPLATE  |  VNA-RFP-005</w:t>
      </w:r>
    </w:p>
    <w:p>
      <w:pPr>
        <w:pStyle w:val="Heading1"/>
      </w:pPr>
      <w:r>
        <w:rPr>
          <w:color w:val="291C1A"/>
        </w:rPr>
        <w:t>Request for Proposals (RFP): Adobe ColdFusion, Classic ASP &amp; VB6 Migration to Oracle APEX 24.2</w:t>
      </w:r>
    </w:p>
    <w:p>
      <w:r>
        <w:rPr>
          <w:sz w:val="20"/>
        </w:rPr>
        <w:t>Instructions for RFP Author: This editable Microsoft Word (.docx) document is structured so your IT, Architecture, and Procurement teams can issue a competitive, apples-to-apples Request for Proposals. Replace all bracketed placeholders ([...]) below with your organization's dates, contacts, and inventory counts.</w:t>
      </w:r>
    </w:p>
    <w:p>
      <w:pPr>
        <w:pStyle w:val="Heading2"/>
      </w:pPr>
      <w:r>
        <w:rPr>
          <w:color w:val="B83B2A"/>
        </w:rPr>
        <w:t>Section 1: Issuing Organization Profile &amp; Procurement Schedule (Editable)</w:t>
      </w:r>
    </w:p>
    <w:tbl>
      <w:tblPr>
        <w:tblStyle w:val="TableGrid"/>
        <w:tblW w:type="auto" w:w="0"/>
        <w:tblLook w:firstColumn="1" w:firstRow="1" w:lastColumn="0" w:lastRow="0" w:noHBand="0" w:noVBand="1" w:val="04A0"/>
      </w:tblPr>
      <w:tblGrid>
        <w:gridCol w:w="5040"/>
        <w:gridCol w:w="5040"/>
      </w:tblGrid>
      <w:tr>
        <w:tc>
          <w:tcPr>
            <w:tcW w:type="dxa" w:w="5040"/>
            <w:shd w:val="clear" w:color="auto" w:fill="2D1D1A"/>
          </w:tcPr>
          <w:p>
            <w:r>
              <w:rPr>
                <w:b/>
                <w:color w:val="FFFFFF"/>
                <w:sz w:val="19"/>
              </w:rPr>
              <w:t>Procurement Milestone / Field</w:t>
            </w:r>
          </w:p>
        </w:tc>
        <w:tc>
          <w:tcPr>
            <w:tcW w:type="dxa" w:w="5040"/>
            <w:shd w:val="clear" w:color="auto" w:fill="2D1D1A"/>
          </w:tcPr>
          <w:p>
            <w:r>
              <w:rPr>
                <w:b/>
                <w:color w:val="FFFFFF"/>
                <w:sz w:val="19"/>
              </w:rPr>
              <w:t>Target Date / Entry (Editable)</w:t>
            </w:r>
          </w:p>
        </w:tc>
      </w:tr>
      <w:tr>
        <w:tc>
          <w:tcPr>
            <w:tcW w:type="dxa" w:w="5040"/>
          </w:tcPr>
          <w:p>
            <w:r>
              <w:rPr>
                <w:b/>
              </w:rPr>
              <w:t>Issuing Organization Name</w:t>
            </w:r>
          </w:p>
        </w:tc>
        <w:tc>
          <w:tcPr>
            <w:tcW w:type="dxa" w:w="5040"/>
          </w:tcPr>
          <w:p>
            <w:r>
              <w:t>[Insert Legal Entity / Company Name]</w:t>
            </w:r>
          </w:p>
        </w:tc>
      </w:tr>
      <w:tr>
        <w:tc>
          <w:tcPr>
            <w:tcW w:type="dxa" w:w="5040"/>
          </w:tcPr>
          <w:p>
            <w:r>
              <w:rPr>
                <w:b/>
              </w:rPr>
              <w:t>Executive Sponsor &amp; Procurement Contact</w:t>
            </w:r>
          </w:p>
        </w:tc>
        <w:tc>
          <w:tcPr>
            <w:tcW w:type="dxa" w:w="5040"/>
          </w:tcPr>
          <w:p>
            <w:r>
              <w:t>[Insert Name, Title, Work Email &amp; Phone]</w:t>
            </w:r>
          </w:p>
        </w:tc>
      </w:tr>
      <w:tr>
        <w:tc>
          <w:tcPr>
            <w:tcW w:type="dxa" w:w="5040"/>
          </w:tcPr>
          <w:p>
            <w:r>
              <w:rPr>
                <w:b/>
              </w:rPr>
              <w:t>RFP Reference Code</w:t>
            </w:r>
          </w:p>
        </w:tc>
        <w:tc>
          <w:tcPr>
            <w:tcW w:type="dxa" w:w="5040"/>
          </w:tcPr>
          <w:p>
            <w:r>
              <w:t>VNA-RFP-005 (Companion to Solution Brief VNA-SB-005)</w:t>
            </w:r>
          </w:p>
        </w:tc>
      </w:tr>
      <w:tr>
        <w:tc>
          <w:tcPr>
            <w:tcW w:type="dxa" w:w="5040"/>
          </w:tcPr>
          <w:p>
            <w:r>
              <w:rPr>
                <w:b/>
              </w:rPr>
              <w:t>RFP Issue Date</w:t>
            </w:r>
          </w:p>
        </w:tc>
        <w:tc>
          <w:tcPr>
            <w:tcW w:type="dxa" w:w="5040"/>
          </w:tcPr>
          <w:p>
            <w:r>
              <w:t>[2026-10-27]</w:t>
            </w:r>
          </w:p>
        </w:tc>
      </w:tr>
      <w:tr>
        <w:tc>
          <w:tcPr>
            <w:tcW w:type="dxa" w:w="5040"/>
          </w:tcPr>
          <w:p>
            <w:r>
              <w:rPr>
                <w:b/>
              </w:rPr>
              <w:t>Vendor Written Questions Due</w:t>
            </w:r>
          </w:p>
        </w:tc>
        <w:tc>
          <w:tcPr>
            <w:tcW w:type="dxa" w:w="5040"/>
          </w:tcPr>
          <w:p>
            <w:r>
              <w:t>[Insert Date - Week 2]</w:t>
            </w:r>
          </w:p>
        </w:tc>
      </w:tr>
      <w:tr>
        <w:tc>
          <w:tcPr>
            <w:tcW w:type="dxa" w:w="5040"/>
          </w:tcPr>
          <w:p>
            <w:r>
              <w:rPr>
                <w:b/>
              </w:rPr>
              <w:t>Organization Responses to Vendor Q&amp;A</w:t>
            </w:r>
          </w:p>
        </w:tc>
        <w:tc>
          <w:tcPr>
            <w:tcW w:type="dxa" w:w="5040"/>
          </w:tcPr>
          <w:p>
            <w:r>
              <w:t>[Insert Date - Week 3]</w:t>
            </w:r>
          </w:p>
        </w:tc>
      </w:tr>
      <w:tr>
        <w:tc>
          <w:tcPr>
            <w:tcW w:type="dxa" w:w="5040"/>
          </w:tcPr>
          <w:p>
            <w:r>
              <w:rPr>
                <w:b/>
              </w:rPr>
              <w:t>Final Vendor Proposals &amp; Fixed-Fee Pricing Due</w:t>
            </w:r>
          </w:p>
        </w:tc>
        <w:tc>
          <w:tcPr>
            <w:tcW w:type="dxa" w:w="5040"/>
          </w:tcPr>
          <w:p>
            <w:r>
              <w:t>[Insert Date - Week 4]</w:t>
            </w:r>
          </w:p>
        </w:tc>
      </w:tr>
      <w:tr>
        <w:tc>
          <w:tcPr>
            <w:tcW w:type="dxa" w:w="5040"/>
          </w:tcPr>
          <w:p>
            <w:r>
              <w:rPr>
                <w:b/>
              </w:rPr>
              <w:t>Technical Architecture Demos / Oral Presentations</w:t>
            </w:r>
          </w:p>
        </w:tc>
        <w:tc>
          <w:tcPr>
            <w:tcW w:type="dxa" w:w="5040"/>
          </w:tcPr>
          <w:p>
            <w:r>
              <w:t>[Insert Date - Week 5]</w:t>
            </w:r>
          </w:p>
        </w:tc>
      </w:tr>
      <w:tr>
        <w:tc>
          <w:tcPr>
            <w:tcW w:type="dxa" w:w="5040"/>
          </w:tcPr>
          <w:p>
            <w:r>
              <w:rPr>
                <w:b/>
              </w:rPr>
              <w:t>Target Contract Award &amp; Phase 0 Kickoff</w:t>
            </w:r>
          </w:p>
        </w:tc>
        <w:tc>
          <w:tcPr>
            <w:tcW w:type="dxa" w:w="5040"/>
          </w:tcPr>
          <w:p>
            <w:r>
              <w:t>[Insert Date - Week 6]</w:t>
            </w:r>
          </w:p>
        </w:tc>
      </w:tr>
    </w:tbl>
    <w:p>
      <w:r>
        <w:t>[INSERT COMPANY NAME] ('Organization') is soliciting competitive proposals from qualified enterprise architecture and engineering partners to modernize and transition our current Adobe ColdFusion (.cfm, .cfc), Classic ASP (.asp), VB6 &amp; PHP environment to Oracle APEX 24.2, ORDS REST APIs, PL/SQL &amp; Autonomous Database.</w:t>
      </w:r>
    </w:p>
    <w:p>
      <w:pPr>
        <w:pStyle w:val="ListBullet"/>
      </w:pPr>
      <w:r>
        <w:t>ColdFusion (`&lt;cfquery&gt;`, `&lt;cfoutput&gt;`, `&lt;cfcomponent&gt;`) and Classic ASP (VBScript ADO recordsets) mix raw SQL strings, HTML table rendering, and session state inside thousands of loosely coupled `.cfm` and `.asp` files.</w:t>
      </w:r>
    </w:p>
    <w:p>
      <w:pPr>
        <w:pStyle w:val="ListBullet"/>
      </w:pPr>
      <w:r>
        <w:t>Security teams flag ColdFusion and legacy IIS servers continuously for remote code execution CVEs and unparameterized SQL concatenation.</w:t>
      </w:r>
    </w:p>
    <w:p>
      <w:pPr>
        <w:pStyle w:val="ListBullet"/>
      </w:pPr>
      <w:r>
        <w:t>Rewriting data-heavy ColdFusion or VB6 apps into sprawling microservices takes years because 80% of the application is simply querying, filtering, validating, and updating relational database tables.</w:t>
      </w:r>
    </w:p>
    <w:p>
      <w:pPr>
        <w:pStyle w:val="Heading2"/>
      </w:pPr>
      <w:r>
        <w:rPr>
          <w:color w:val="B83B2A"/>
        </w:rPr>
        <w:t>Section 2: Current Environment Baseline Inventory (Editable)</w:t>
      </w:r>
    </w:p>
    <w:tbl>
      <w:tblPr>
        <w:tblStyle w:val="TableGrid"/>
        <w:tblW w:type="auto" w:w="0"/>
        <w:tblLook w:firstColumn="1" w:firstRow="1" w:lastColumn="0" w:lastRow="0" w:noHBand="0" w:noVBand="1" w:val="04A0"/>
      </w:tblPr>
      <w:tblGrid>
        <w:gridCol w:w="3360"/>
        <w:gridCol w:w="3360"/>
        <w:gridCol w:w="3360"/>
      </w:tblGrid>
      <w:tr>
        <w:tc>
          <w:tcPr>
            <w:tcW w:type="dxa" w:w="3360"/>
            <w:shd w:val="clear" w:color="auto" w:fill="B83B2A"/>
          </w:tcPr>
          <w:p>
            <w:r>
              <w:rPr>
                <w:b/>
                <w:color w:val="FFFFFF"/>
                <w:sz w:val="19"/>
              </w:rPr>
              <w:t>Inventory Dimension</w:t>
            </w:r>
          </w:p>
        </w:tc>
        <w:tc>
          <w:tcPr>
            <w:tcW w:type="dxa" w:w="3360"/>
            <w:shd w:val="clear" w:color="auto" w:fill="B83B2A"/>
          </w:tcPr>
          <w:p>
            <w:r>
              <w:rPr>
                <w:b/>
                <w:color w:val="FFFFFF"/>
                <w:sz w:val="19"/>
              </w:rPr>
              <w:t>Current Baseline Footprint (Editable)</w:t>
            </w:r>
          </w:p>
        </w:tc>
        <w:tc>
          <w:tcPr>
            <w:tcW w:type="dxa" w:w="3360"/>
            <w:shd w:val="clear" w:color="auto" w:fill="B83B2A"/>
          </w:tcPr>
          <w:p>
            <w:r>
              <w:rPr>
                <w:b/>
                <w:color w:val="FFFFFF"/>
                <w:sz w:val="19"/>
              </w:rPr>
              <w:t>Target Modernization SLA / Objective</w:t>
            </w:r>
          </w:p>
        </w:tc>
      </w:tr>
      <w:tr>
        <w:tc>
          <w:tcPr>
            <w:tcW w:type="dxa" w:w="3360"/>
          </w:tcPr>
          <w:p>
            <w:r>
              <w:rPr>
                <w:b/>
              </w:rPr>
              <w:t>Legacy Source Stack (Stack X)</w:t>
            </w:r>
          </w:p>
        </w:tc>
        <w:tc>
          <w:tcPr>
            <w:tcW w:type="dxa" w:w="3360"/>
          </w:tcPr>
          <w:p>
            <w:r>
              <w:t>Adobe ColdFusion (.cfm, .cfc), Classic ASP (.asp), VB6 &amp; PHP</w:t>
            </w:r>
          </w:p>
        </w:tc>
        <w:tc>
          <w:tcPr>
            <w:tcW w:type="dxa" w:w="3360"/>
          </w:tcPr>
          <w:p>
            <w:r>
              <w:t>Full retirement / modernization</w:t>
            </w:r>
          </w:p>
        </w:tc>
      </w:tr>
      <w:tr>
        <w:tc>
          <w:tcPr>
            <w:tcW w:type="dxa" w:w="3360"/>
          </w:tcPr>
          <w:p>
            <w:r>
              <w:rPr>
                <w:b/>
              </w:rPr>
              <w:t>Target Architecture (Stack Y)</w:t>
            </w:r>
          </w:p>
        </w:tc>
        <w:tc>
          <w:tcPr>
            <w:tcW w:type="dxa" w:w="3360"/>
          </w:tcPr>
          <w:p>
            <w:r>
              <w:t>Oracle APEX 24.2, ORDS REST APIs, PL/SQL &amp; Autonomous Database</w:t>
            </w:r>
          </w:p>
        </w:tc>
        <w:tc>
          <w:tcPr>
            <w:tcW w:type="dxa" w:w="3360"/>
          </w:tcPr>
          <w:p>
            <w:r>
              <w:t>Production HA/DR &amp; security governance</w:t>
            </w:r>
          </w:p>
        </w:tc>
      </w:tr>
      <w:tr>
        <w:tc>
          <w:tcPr>
            <w:tcW w:type="dxa" w:w="3360"/>
          </w:tcPr>
          <w:p>
            <w:r>
              <w:rPr>
                <w:b/>
              </w:rPr>
              <w:t>ColdFusion / ASP / VB6 Screens</w:t>
            </w:r>
          </w:p>
        </w:tc>
        <w:tc>
          <w:tcPr>
            <w:tcW w:type="dxa" w:w="3360"/>
          </w:tcPr>
          <w:p>
            <w:r>
              <w:t>[Insert Count, e.g., 160 templates]</w:t>
            </w:r>
          </w:p>
        </w:tc>
        <w:tc>
          <w:tcPr>
            <w:tcW w:type="dxa" w:w="3360"/>
          </w:tcPr>
          <w:p>
            <w:r>
              <w:t>100% functional parity &amp; optimization</w:t>
            </w:r>
          </w:p>
        </w:tc>
      </w:tr>
      <w:tr>
        <w:tc>
          <w:tcPr>
            <w:tcW w:type="dxa" w:w="3360"/>
          </w:tcPr>
          <w:p>
            <w:r>
              <w:rPr>
                <w:b/>
              </w:rPr>
              <w:t>Embedded CFQUERY / ADO Report Queries</w:t>
            </w:r>
          </w:p>
        </w:tc>
        <w:tc>
          <w:tcPr>
            <w:tcW w:type="dxa" w:w="3360"/>
          </w:tcPr>
          <w:p>
            <w:r>
              <w:t>[Insert Count, e.g., 480 queries]</w:t>
            </w:r>
          </w:p>
        </w:tc>
        <w:tc>
          <w:tcPr>
            <w:tcW w:type="dxa" w:w="3360"/>
          </w:tcPr>
          <w:p>
            <w:r>
              <w:t>Automated AST &amp; schema uplift</w:t>
            </w:r>
          </w:p>
        </w:tc>
      </w:tr>
      <w:tr>
        <w:tc>
          <w:tcPr>
            <w:tcW w:type="dxa" w:w="3360"/>
          </w:tcPr>
          <w:p>
            <w:r>
              <w:rPr>
                <w:b/>
              </w:rPr>
              <w:t>Query Fan-Out Rationalization (Cloned CFQUERYs -&gt; Core SQL + Runtime Filters)</w:t>
            </w:r>
          </w:p>
        </w:tc>
        <w:tc>
          <w:tcPr>
            <w:tcW w:type="dxa" w:w="3360"/>
          </w:tcPr>
          <w:p>
            <w:r>
              <w:t>[Insert Count, e.g., 78 % fan-out reduction]</w:t>
            </w:r>
          </w:p>
        </w:tc>
        <w:tc>
          <w:tcPr>
            <w:tcW w:type="dxa" w:w="3360"/>
          </w:tcPr>
          <w:p>
            <w:r>
              <w:t>Target rationalization / SLA</w:t>
            </w:r>
          </w:p>
        </w:tc>
      </w:tr>
      <w:tr>
        <w:tc>
          <w:tcPr>
            <w:tcW w:type="dxa" w:w="3360"/>
          </w:tcPr>
          <w:p>
            <w:r>
              <w:rPr>
                <w:b/>
              </w:rPr>
              <w:t>Target Cutover Downtime Window</w:t>
            </w:r>
          </w:p>
        </w:tc>
        <w:tc>
          <w:tcPr>
            <w:tcW w:type="dxa" w:w="3360"/>
          </w:tcPr>
          <w:p>
            <w:r>
              <w:t>[e.g., &lt; 15 Minutes / Near-Zero Downtime]</w:t>
            </w:r>
          </w:p>
        </w:tc>
        <w:tc>
          <w:tcPr>
            <w:tcW w:type="dxa" w:w="3360"/>
          </w:tcPr>
          <w:p>
            <w:r>
              <w:t>Rehearsed parallel run + rollback plan</w:t>
            </w:r>
          </w:p>
        </w:tc>
      </w:tr>
      <w:tr>
        <w:tc>
          <w:tcPr>
            <w:tcW w:type="dxa" w:w="3360"/>
          </w:tcPr>
          <w:p>
            <w:r>
              <w:rPr>
                <w:b/>
              </w:rPr>
              <w:t>Security, Compliance &amp; Identity</w:t>
            </w:r>
          </w:p>
        </w:tc>
        <w:tc>
          <w:tcPr>
            <w:tcW w:type="dxa" w:w="3360"/>
          </w:tcPr>
          <w:p>
            <w:r>
              <w:t>[e.g., SSO/MFA via Entra ID / Okta, Row-Level VPD]</w:t>
            </w:r>
          </w:p>
        </w:tc>
        <w:tc>
          <w:tcPr>
            <w:tcW w:type="dxa" w:w="3360"/>
          </w:tcPr>
          <w:p>
            <w:r>
              <w:t>Zero critical/high CVEs at Go-Live</w:t>
            </w:r>
          </w:p>
        </w:tc>
      </w:tr>
    </w:tbl>
    <w:p>
      <w:pPr>
        <w:pStyle w:val="Heading2"/>
      </w:pPr>
      <w:r>
        <w:rPr>
          <w:color w:val="B83B2A"/>
        </w:rPr>
        <w:t>Section 3: Mandatory Technical Scope of Work &amp; Conversion Matrix</w:t>
      </w:r>
    </w:p>
    <w:p>
      <w:pPr>
        <w:pStyle w:val="ListNumber"/>
      </w:pPr>
      <w:r>
        <w:rPr>
          <w:b/>
        </w:rPr>
        <w:t xml:space="preserve">[REQ-ARCH-01] </w:t>
      </w:r>
      <w:r>
        <w:t>Automated CFM/CFC/ASP Tag &amp; Query Harvester: Our parser scans your `.cfm`, `.cfc`, `.asp`, and `.frm`/`.bas` source tree, extracting every `&lt;cfquery&gt;` / ADO SQL block, form post target, session variable, and scheduled job.</w:t>
      </w:r>
    </w:p>
    <w:p>
      <w:pPr>
        <w:pStyle w:val="ListNumber"/>
      </w:pPr>
      <w:r>
        <w:rPr>
          <w:b/>
        </w:rPr>
        <w:t xml:space="preserve">[REQ-ARCH-02] </w:t>
      </w:r>
      <w:r>
        <w:t>SQL Hardening &amp; PL/SQL Package Consolidation: Inline SQL queries scattered across `.cfm` pages are parameterized with strict bind variables and consolidated into compiled Oracle PL/SQL packages inside the database.</w:t>
      </w:r>
    </w:p>
    <w:p>
      <w:pPr>
        <w:pStyle w:val="ListNumber"/>
      </w:pPr>
      <w:r>
        <w:rPr>
          <w:b/>
        </w:rPr>
        <w:t xml:space="preserve">[REQ-ARCH-03] </w:t>
      </w:r>
      <w:r>
        <w:t>Declarative APEX 24.2 UI Generation: Multi-hundred-line ColdFusion HTML tables and form post handlers are replaced by declarative APEX Interactive Reports, Interactive Grids, and Modal Forms backed by Universal Theme 42.</w:t>
      </w:r>
    </w:p>
    <w:p>
      <w:pPr>
        <w:pStyle w:val="ListNumber"/>
      </w:pPr>
      <w:r>
        <w:rPr>
          <w:b/>
        </w:rPr>
        <w:t xml:space="preserve">[REQ-ARCH-04] </w:t>
      </w:r>
      <w:r>
        <w:t>Enterprise Identity &amp; Scheduled Job Migration: Legacy ColdFusion `Application.cfc` session management and CFAdmin scheduled tasks are migrated to Viscosity AMP (SAML/OIDC SSO) and `DBMS_SCHEDULER` / APEX Automations.</w:t>
      </w:r>
    </w:p>
    <w:p>
      <w:pPr>
        <w:pStyle w:val="ListNumber"/>
      </w:pPr>
      <w:r>
        <w:rPr>
          <w:b/>
        </w:rPr>
        <w:t xml:space="preserve">[REQ-ARCH-05] </w:t>
      </w:r>
      <w:r>
        <w:t>Query Fan-Out Rationalization &amp; Runtime/Inference Filtering: Instead of migrating cloned reports and DataWindows 1-for-1, our AST SQL parser clusters queries by their canonical core JOIN graph, builds governed Oracle 23ai views only for those core queries, and generates dynamic WHERE clauses, faceted filters, and ad-hoc report variations at runtime and via AI inference (APEX 24.2 Smart Filters &amp; Select AI).</w:t>
      </w:r>
    </w:p>
    <w:tbl>
      <w:tblPr>
        <w:tblStyle w:val="TableGrid"/>
        <w:tblW w:type="auto" w:w="0"/>
        <w:tblLook w:firstColumn="1" w:firstRow="1" w:lastColumn="0" w:lastRow="0" w:noHBand="0" w:noVBand="1" w:val="04A0"/>
      </w:tblPr>
      <w:tblGrid>
        <w:gridCol w:w="2520"/>
        <w:gridCol w:w="2520"/>
        <w:gridCol w:w="2520"/>
        <w:gridCol w:w="2520"/>
      </w:tblGrid>
      <w:tr>
        <w:tc>
          <w:tcPr>
            <w:tcW w:type="dxa" w:w="2520"/>
            <w:shd w:val="clear" w:color="auto" w:fill="2D1D1A"/>
          </w:tcPr>
          <w:p>
            <w:r>
              <w:rPr>
                <w:b/>
                <w:color w:val="FFFFFF"/>
                <w:sz w:val="19"/>
              </w:rPr>
              <w:t>Req ID</w:t>
            </w:r>
          </w:p>
        </w:tc>
        <w:tc>
          <w:tcPr>
            <w:tcW w:type="dxa" w:w="2520"/>
            <w:shd w:val="clear" w:color="auto" w:fill="2D1D1A"/>
          </w:tcPr>
          <w:p>
            <w:r>
              <w:rPr>
                <w:b/>
                <w:color w:val="FFFFFF"/>
                <w:sz w:val="19"/>
              </w:rPr>
              <w:t>Legacy Artifact / Baseline Workload</w:t>
            </w:r>
          </w:p>
        </w:tc>
        <w:tc>
          <w:tcPr>
            <w:tcW w:type="dxa" w:w="2520"/>
            <w:shd w:val="clear" w:color="auto" w:fill="2D1D1A"/>
          </w:tcPr>
          <w:p>
            <w:r>
              <w:rPr>
                <w:b/>
                <w:color w:val="FFFFFF"/>
                <w:sz w:val="19"/>
              </w:rPr>
              <w:t>Required Target Architecture</w:t>
            </w:r>
          </w:p>
        </w:tc>
        <w:tc>
          <w:tcPr>
            <w:tcW w:type="dxa" w:w="2520"/>
            <w:shd w:val="clear" w:color="auto" w:fill="2D1D1A"/>
          </w:tcPr>
          <w:p>
            <w:r>
              <w:rPr>
                <w:b/>
                <w:color w:val="FFFFFF"/>
                <w:sz w:val="19"/>
              </w:rPr>
              <w:t>Engineering Method &amp; Acceptance Gate</w:t>
            </w:r>
          </w:p>
        </w:tc>
      </w:tr>
      <w:tr>
        <w:tc>
          <w:tcPr>
            <w:tcW w:type="dxa" w:w="2520"/>
          </w:tcPr>
          <w:p>
            <w:r>
              <w:rPr>
                <w:b/>
              </w:rPr>
              <w:t>REQ-01</w:t>
            </w:r>
          </w:p>
        </w:tc>
        <w:tc>
          <w:tcPr>
            <w:tcW w:type="dxa" w:w="2520"/>
          </w:tcPr>
          <w:p>
            <w:r>
              <w:t>ColdFusion `&lt;cfquery&gt;` / Classic ASP ADO SQL</w:t>
            </w:r>
          </w:p>
        </w:tc>
        <w:tc>
          <w:tcPr>
            <w:tcW w:type="dxa" w:w="2520"/>
          </w:tcPr>
          <w:p>
            <w:r>
              <w:t>Parameterized PL/SQL Packages &amp; APEX Region Sources</w:t>
            </w:r>
          </w:p>
        </w:tc>
        <w:tc>
          <w:tcPr>
            <w:tcW w:type="dxa" w:w="2520"/>
          </w:tcPr>
          <w:p>
            <w:r>
              <w:t>Automated SQL Extraction + Bind Variable Hardening</w:t>
            </w:r>
          </w:p>
        </w:tc>
      </w:tr>
      <w:tr>
        <w:tc>
          <w:tcPr>
            <w:tcW w:type="dxa" w:w="2520"/>
          </w:tcPr>
          <w:p>
            <w:r>
              <w:rPr>
                <w:b/>
              </w:rPr>
              <w:t>REQ-02</w:t>
            </w:r>
          </w:p>
        </w:tc>
        <w:tc>
          <w:tcPr>
            <w:tcW w:type="dxa" w:w="2520"/>
          </w:tcPr>
          <w:p>
            <w:r>
              <w:t>ColdFusion `&lt;cfform&gt;` / `&lt;cfgrid&gt;` / HTML Tables</w:t>
            </w:r>
          </w:p>
        </w:tc>
        <w:tc>
          <w:tcPr>
            <w:tcW w:type="dxa" w:w="2520"/>
          </w:tcPr>
          <w:p>
            <w:r>
              <w:t>APEX 24.2 Form Regions &amp; Interactive Grids</w:t>
            </w:r>
          </w:p>
        </w:tc>
        <w:tc>
          <w:tcPr>
            <w:tcW w:type="dxa" w:w="2520"/>
          </w:tcPr>
          <w:p>
            <w:r>
              <w:t>Declarative Component Replacement</w:t>
            </w:r>
          </w:p>
        </w:tc>
      </w:tr>
      <w:tr>
        <w:tc>
          <w:tcPr>
            <w:tcW w:type="dxa" w:w="2520"/>
          </w:tcPr>
          <w:p>
            <w:r>
              <w:rPr>
                <w:b/>
              </w:rPr>
              <w:t>REQ-03</w:t>
            </w:r>
          </w:p>
        </w:tc>
        <w:tc>
          <w:tcPr>
            <w:tcW w:type="dxa" w:w="2520"/>
          </w:tcPr>
          <w:p>
            <w:r>
              <w:t>ColdFusion Components (`.cfc`) &amp; SOAP Web Services</w:t>
            </w:r>
          </w:p>
        </w:tc>
        <w:tc>
          <w:tcPr>
            <w:tcW w:type="dxa" w:w="2520"/>
          </w:tcPr>
          <w:p>
            <w:r>
              <w:t>PL/SQL Packages + ORDS AutoREST / OpenAPI 3.1</w:t>
            </w:r>
          </w:p>
        </w:tc>
        <w:tc>
          <w:tcPr>
            <w:tcW w:type="dxa" w:w="2520"/>
          </w:tcPr>
          <w:p>
            <w:r>
              <w:t>RESTful Endpoint Modernization</w:t>
            </w:r>
          </w:p>
        </w:tc>
      </w:tr>
      <w:tr>
        <w:tc>
          <w:tcPr>
            <w:tcW w:type="dxa" w:w="2520"/>
          </w:tcPr>
          <w:p>
            <w:r>
              <w:rPr>
                <w:b/>
              </w:rPr>
              <w:t>REQ-04</w:t>
            </w:r>
          </w:p>
        </w:tc>
        <w:tc>
          <w:tcPr>
            <w:tcW w:type="dxa" w:w="2520"/>
          </w:tcPr>
          <w:p>
            <w:r>
              <w:t>ColdFusion `&lt;cfdocument format="PDF"&gt;`</w:t>
            </w:r>
          </w:p>
        </w:tc>
        <w:tc>
          <w:tcPr>
            <w:tcW w:type="dxa" w:w="2520"/>
          </w:tcPr>
          <w:p>
            <w:r>
              <w:t>APEX Native PDF Printing / APEX Office Print (AOP)</w:t>
            </w:r>
          </w:p>
        </w:tc>
        <w:tc>
          <w:tcPr>
            <w:tcW w:type="dxa" w:w="2520"/>
          </w:tcPr>
          <w:p>
            <w:r>
              <w:t>Server-Side Report Template Conversion</w:t>
            </w:r>
          </w:p>
        </w:tc>
      </w:tr>
      <w:tr>
        <w:tc>
          <w:tcPr>
            <w:tcW w:type="dxa" w:w="2520"/>
          </w:tcPr>
          <w:p>
            <w:r>
              <w:rPr>
                <w:b/>
              </w:rPr>
              <w:t>REQ-05</w:t>
            </w:r>
          </w:p>
        </w:tc>
        <w:tc>
          <w:tcPr>
            <w:tcW w:type="dxa" w:w="2520"/>
          </w:tcPr>
          <w:p>
            <w:r>
              <w:t>CFAdmin Scheduled Tasks / Windows Task Scheduler</w:t>
            </w:r>
          </w:p>
        </w:tc>
        <w:tc>
          <w:tcPr>
            <w:tcW w:type="dxa" w:w="2520"/>
          </w:tcPr>
          <w:p>
            <w:r>
              <w:t>Oracle APEX Automations &amp; `DBMS_SCHEDULER`</w:t>
            </w:r>
          </w:p>
        </w:tc>
        <w:tc>
          <w:tcPr>
            <w:tcW w:type="dxa" w:w="2520"/>
          </w:tcPr>
          <w:p>
            <w:r>
              <w:t>Database-Native Job Orchestration</w:t>
            </w:r>
          </w:p>
        </w:tc>
      </w:tr>
      <w:tr>
        <w:tc>
          <w:tcPr>
            <w:tcW w:type="dxa" w:w="2520"/>
          </w:tcPr>
          <w:p>
            <w:r>
              <w:rPr>
                <w:b/>
              </w:rPr>
              <w:t>REQ-06</w:t>
            </w:r>
          </w:p>
        </w:tc>
        <w:tc>
          <w:tcPr>
            <w:tcW w:type="dxa" w:w="2520"/>
          </w:tcPr>
          <w:p>
            <w:r>
              <w:t>Cloned Reports / Queries Differing Only by WHERE Clause or Group-By (Query Fan-Out)</w:t>
            </w:r>
          </w:p>
        </w:tc>
        <w:tc>
          <w:tcPr>
            <w:tcW w:type="dxa" w:w="2520"/>
          </w:tcPr>
          <w:p>
            <w:r>
              <w:t>Canonical Core SQL View + APEX 24.2 Runtime / AI Inference Filters</w:t>
            </w:r>
          </w:p>
        </w:tc>
        <w:tc>
          <w:tcPr>
            <w:tcW w:type="dxa" w:w="2520"/>
          </w:tcPr>
          <w:p>
            <w:r>
              <w:t>AST Join-Graph Clustering (75-90% Report Count Reduction)</w:t>
            </w:r>
          </w:p>
        </w:tc>
      </w:tr>
    </w:tbl>
    <w:p>
      <w:pPr>
        <w:pStyle w:val="Heading2"/>
      </w:pPr>
      <w:r>
        <w:rPr>
          <w:color w:val="B83B2A"/>
        </w:rPr>
        <w:t>Section 4: Vendor Technical Q&amp;A Questionnaire &amp; Evaluation Rubric</w:t>
      </w:r>
    </w:p>
    <w:p>
      <w:r>
        <w:t>Bidders must provide direct written responses to each question below. Evaluation committee members can grade vendor responses (0 to 10 points) using the Reference Evaluation Benchmark provided under each question.</w:t>
      </w:r>
    </w:p>
    <w:p>
      <w:r>
        <w:rPr>
          <w:b/>
        </w:rPr>
        <w:t>Vendor Question 1: Why convert ColdFusion to Oracle APEX instead of React or .NET?   [Evaluator Score: ___ / 10]</w:t>
      </w:r>
    </w:p>
    <w:p>
      <w:pPr>
        <w:pStyle w:val="ListBullet"/>
      </w:pPr>
      <w:r>
        <w:rPr>
          <w:b/>
        </w:rPr>
        <w:t xml:space="preserve">Reference Evaluation Benchmark: </w:t>
      </w:r>
      <w:r>
        <w:t>ColdFusion was originally designed as a tag-based database-to-HTML rapid development tool. Oracle APEX operates on the exact same data-centric paradigm but runs natively inside the Oracle Database with modern security, responsive UI, and zero middle-tier servers to patch.</w:t>
      </w:r>
    </w:p>
    <w:p>
      <w:pPr>
        <w:pStyle w:val="ListBullet"/>
      </w:pPr>
      <w:r>
        <w:rPr>
          <w:b/>
        </w:rPr>
        <w:t xml:space="preserve">Vendor Written Response: </w:t>
      </w:r>
      <w:r>
        <w:t>[Bidder to insert concrete technical architecture and verifiable production proof here]</w:t>
      </w:r>
    </w:p>
    <w:p>
      <w:r>
        <w:rPr>
          <w:b/>
        </w:rPr>
        <w:t>Vendor Question 2: What if our ColdFusion app connects to SQL Server or MySQL?   [Evaluator Score: ___ / 10]</w:t>
      </w:r>
    </w:p>
    <w:p>
      <w:pPr>
        <w:pStyle w:val="ListBullet"/>
      </w:pPr>
      <w:r>
        <w:rPr>
          <w:b/>
        </w:rPr>
        <w:t xml:space="preserve">Reference Evaluation Benchmark: </w:t>
      </w:r>
      <w:r>
        <w:t>We migrate the underlying schema to Oracle Database 23ai / Autonomous Database (or connect APEX to external databases via REST Data Sources / Database Links) as part of the same turnkey sprint.</w:t>
      </w:r>
    </w:p>
    <w:p>
      <w:pPr>
        <w:pStyle w:val="ListBullet"/>
      </w:pPr>
      <w:r>
        <w:rPr>
          <w:b/>
        </w:rPr>
        <w:t xml:space="preserve">Vendor Written Response: </w:t>
      </w:r>
      <w:r>
        <w:t>[Bidder to insert concrete technical architecture and verifiable production proof here]</w:t>
      </w:r>
    </w:p>
    <w:p>
      <w:r>
        <w:rPr>
          <w:b/>
        </w:rPr>
        <w:t>Vendor Question 3: What is included in the downloadable PDF Solution Brief?   [Evaluator Score: ___ / 10]</w:t>
      </w:r>
    </w:p>
    <w:p>
      <w:pPr>
        <w:pStyle w:val="ListBullet"/>
      </w:pPr>
      <w:r>
        <w:rPr>
          <w:b/>
        </w:rPr>
        <w:t xml:space="preserve">Reference Evaluation Benchmark: </w:t>
      </w:r>
      <w:r>
        <w:t>The PDF Solution Brief provides the complete ColdFusion/ASP-to-APEX tag mapping reference, security hardening checklist (OWASP Top 10 compliance in APEX), and a TCO calculator.</w:t>
      </w:r>
    </w:p>
    <w:p>
      <w:pPr>
        <w:pStyle w:val="ListBullet"/>
      </w:pPr>
      <w:r>
        <w:rPr>
          <w:b/>
        </w:rPr>
        <w:t xml:space="preserve">Vendor Written Response: </w:t>
      </w:r>
      <w:r>
        <w:t>[Bidder to insert concrete technical architecture and verifiable production proof here]</w:t>
      </w:r>
    </w:p>
    <w:p>
      <w:r>
        <w:rPr>
          <w:b/>
        </w:rPr>
        <w:t>Vendor Question 4: How do you prevent report and query fan-out bloat, and how do you guarantee 100% customer code ownership?   [Evaluator Score: ___ / 10]</w:t>
      </w:r>
    </w:p>
    <w:p>
      <w:pPr>
        <w:pStyle w:val="ListBullet"/>
      </w:pPr>
      <w:r>
        <w:rPr>
          <w:b/>
        </w:rPr>
        <w:t xml:space="preserve">Reference Evaluation Benchmark: </w:t>
      </w:r>
      <w:r>
        <w:t>Vendor must demonstrate AST SQL clustering (collapsing 75%-90% of cloned queries into core database views with runtime predicates) and confirm 100% customer ownership of all DDL, PL/SQL, APEX, and cloud source code with zero proprietary runtime lock-in.</w:t>
      </w:r>
    </w:p>
    <w:p>
      <w:pPr>
        <w:pStyle w:val="ListBullet"/>
      </w:pPr>
      <w:r>
        <w:rPr>
          <w:b/>
        </w:rPr>
        <w:t xml:space="preserve">Vendor Written Response: </w:t>
      </w:r>
      <w:r>
        <w:t>[Bidder to insert concrete technical architecture and verifiable production proof here]</w:t>
      </w:r>
    </w:p>
    <w:p>
      <w:r>
        <w:rPr>
          <w:b/>
        </w:rPr>
        <w:t>Vendor Question 5: Describe your automated regression testing, data parity verification, and zero-downtime cutover methodology.   [Evaluator Score: ___ / 10]</w:t>
      </w:r>
    </w:p>
    <w:p>
      <w:pPr>
        <w:pStyle w:val="ListBullet"/>
      </w:pPr>
      <w:r>
        <w:rPr>
          <w:b/>
        </w:rPr>
        <w:t xml:space="preserve">Reference Evaluation Benchmark: </w:t>
      </w:r>
      <w:r>
        <w:t>Vendor must provide automated row-count and cryptographic hash reconciliation, automated unit/UI test suites (utPLSQL, Playwright), and a rehearsed cutover runbook with sub-minute rollback capability.</w:t>
      </w:r>
    </w:p>
    <w:p>
      <w:pPr>
        <w:pStyle w:val="ListBullet"/>
      </w:pPr>
      <w:r>
        <w:rPr>
          <w:b/>
        </w:rPr>
        <w:t xml:space="preserve">Vendor Written Response: </w:t>
      </w:r>
      <w:r>
        <w:t>[Bidder to insert concrete technical architecture and verifiable production proof here]</w:t>
      </w:r>
    </w:p>
    <w:p>
      <w:pPr>
        <w:pStyle w:val="Heading2"/>
      </w:pPr>
      <w:r>
        <w:rPr>
          <w:color w:val="B83B2A"/>
        </w:rPr>
        <w:t>Section 5: Commercial Milestone Pricing &amp; Evaluation Scorecard (Editable)</w:t>
      </w:r>
    </w:p>
    <w:tbl>
      <w:tblPr>
        <w:tblStyle w:val="TableGrid"/>
        <w:tblW w:type="auto" w:w="0"/>
        <w:tblLook w:firstColumn="1" w:firstRow="1" w:lastColumn="0" w:lastRow="0" w:noHBand="0" w:noVBand="1" w:val="04A0"/>
      </w:tblPr>
      <w:tblGrid>
        <w:gridCol w:w="2520"/>
        <w:gridCol w:w="2520"/>
        <w:gridCol w:w="2520"/>
        <w:gridCol w:w="2520"/>
      </w:tblGrid>
      <w:tr>
        <w:tc>
          <w:tcPr>
            <w:tcW w:type="dxa" w:w="2520"/>
            <w:shd w:val="clear" w:color="auto" w:fill="2D1D1A"/>
          </w:tcPr>
          <w:p>
            <w:r>
              <w:rPr>
                <w:b/>
                <w:color w:val="FFFFFF"/>
                <w:sz w:val="19"/>
              </w:rPr>
              <w:t>Milestone / Phase</w:t>
            </w:r>
          </w:p>
        </w:tc>
        <w:tc>
          <w:tcPr>
            <w:tcW w:type="dxa" w:w="2520"/>
            <w:shd w:val="clear" w:color="auto" w:fill="2D1D1A"/>
          </w:tcPr>
          <w:p>
            <w:r>
              <w:rPr>
                <w:b/>
                <w:color w:val="FFFFFF"/>
                <w:sz w:val="19"/>
              </w:rPr>
              <w:t>Deliverable &amp; Acceptance Gate</w:t>
            </w:r>
          </w:p>
        </w:tc>
        <w:tc>
          <w:tcPr>
            <w:tcW w:type="dxa" w:w="2520"/>
            <w:shd w:val="clear" w:color="auto" w:fill="2D1D1A"/>
          </w:tcPr>
          <w:p>
            <w:r>
              <w:rPr>
                <w:b/>
                <w:color w:val="FFFFFF"/>
                <w:sz w:val="19"/>
              </w:rPr>
              <w:t>Fixed Fee (USD)</w:t>
            </w:r>
          </w:p>
        </w:tc>
        <w:tc>
          <w:tcPr>
            <w:tcW w:type="dxa" w:w="2520"/>
            <w:shd w:val="clear" w:color="auto" w:fill="2D1D1A"/>
          </w:tcPr>
          <w:p>
            <w:r>
              <w:rPr>
                <w:b/>
                <w:color w:val="FFFFFF"/>
                <w:sz w:val="19"/>
              </w:rPr>
              <w:t>Estimated Weeks</w:t>
            </w:r>
          </w:p>
        </w:tc>
      </w:tr>
      <w:tr>
        <w:tc>
          <w:tcPr>
            <w:tcW w:type="dxa" w:w="2520"/>
          </w:tcPr>
          <w:p>
            <w:r>
              <w:rPr>
                <w:b/>
              </w:rPr>
              <w:t>Phase 0: Discovery &amp; AST X-Ray</w:t>
            </w:r>
          </w:p>
        </w:tc>
        <w:tc>
          <w:tcPr>
            <w:tcW w:type="dxa" w:w="2520"/>
          </w:tcPr>
          <w:p>
            <w:r>
              <w:t>Verified inventory, dead-code manifest, core SQL fan-out map &amp; blueprint</w:t>
            </w:r>
          </w:p>
        </w:tc>
        <w:tc>
          <w:tcPr>
            <w:tcW w:type="dxa" w:w="2520"/>
          </w:tcPr>
          <w:p>
            <w:r>
              <w:t>$ [Insert]</w:t>
            </w:r>
          </w:p>
        </w:tc>
        <w:tc>
          <w:tcPr>
            <w:tcW w:type="dxa" w:w="2520"/>
          </w:tcPr>
          <w:p>
            <w:r>
              <w:t>[2 - 3 Weeks]</w:t>
            </w:r>
          </w:p>
        </w:tc>
      </w:tr>
      <w:tr>
        <w:tc>
          <w:tcPr>
            <w:tcW w:type="dxa" w:w="2520"/>
          </w:tcPr>
          <w:p>
            <w:r>
              <w:rPr>
                <w:b/>
              </w:rPr>
              <w:t>Phase 1: Core Schema &amp; Logic Uplift</w:t>
            </w:r>
          </w:p>
        </w:tc>
        <w:tc>
          <w:tcPr>
            <w:tcW w:type="dxa" w:w="2520"/>
          </w:tcPr>
          <w:p>
            <w:r>
              <w:t>Provisioned target stack, schema migration &amp; automated logic conversion</w:t>
            </w:r>
          </w:p>
        </w:tc>
        <w:tc>
          <w:tcPr>
            <w:tcW w:type="dxa" w:w="2520"/>
          </w:tcPr>
          <w:p>
            <w:r>
              <w:t>$ [Insert]</w:t>
            </w:r>
          </w:p>
        </w:tc>
        <w:tc>
          <w:tcPr>
            <w:tcW w:type="dxa" w:w="2520"/>
          </w:tcPr>
          <w:p>
            <w:r>
              <w:t>[4 - 8 Weeks]</w:t>
            </w:r>
          </w:p>
        </w:tc>
      </w:tr>
      <w:tr>
        <w:tc>
          <w:tcPr>
            <w:tcW w:type="dxa" w:w="2520"/>
          </w:tcPr>
          <w:p>
            <w:r>
              <w:rPr>
                <w:b/>
              </w:rPr>
              <w:t>Phase 2: UI, Reports &amp; UAT</w:t>
            </w:r>
          </w:p>
        </w:tc>
        <w:tc>
          <w:tcPr>
            <w:tcW w:type="dxa" w:w="2520"/>
          </w:tcPr>
          <w:p>
            <w:r>
              <w:t>Modernized portals/screens, runtime reports, AOP templates &amp; UAT sign-off</w:t>
            </w:r>
          </w:p>
        </w:tc>
        <w:tc>
          <w:tcPr>
            <w:tcW w:type="dxa" w:w="2520"/>
          </w:tcPr>
          <w:p>
            <w:r>
              <w:t>$ [Insert]</w:t>
            </w:r>
          </w:p>
        </w:tc>
        <w:tc>
          <w:tcPr>
            <w:tcW w:type="dxa" w:w="2520"/>
          </w:tcPr>
          <w:p>
            <w:r>
              <w:t>[3 - 6 Weeks]</w:t>
            </w:r>
          </w:p>
        </w:tc>
      </w:tr>
      <w:tr>
        <w:tc>
          <w:tcPr>
            <w:tcW w:type="dxa" w:w="2520"/>
          </w:tcPr>
          <w:p>
            <w:r>
              <w:rPr>
                <w:b/>
              </w:rPr>
              <w:t>Phase 3: Cutover &amp; Hypercare</w:t>
            </w:r>
          </w:p>
        </w:tc>
        <w:tc>
          <w:tcPr>
            <w:tcW w:type="dxa" w:w="2520"/>
          </w:tcPr>
          <w:p>
            <w:r>
              <w:t>Rehearsed cutover, reconciliation sign-off &amp; 30-day production hypercare</w:t>
            </w:r>
          </w:p>
        </w:tc>
        <w:tc>
          <w:tcPr>
            <w:tcW w:type="dxa" w:w="2520"/>
          </w:tcPr>
          <w:p>
            <w:r>
              <w:t>$ [Insert]</w:t>
            </w:r>
          </w:p>
        </w:tc>
        <w:tc>
          <w:tcPr>
            <w:tcW w:type="dxa" w:w="2520"/>
          </w:tcPr>
          <w:p>
            <w:r>
              <w:t>[2 - 3 Weeks]</w:t>
            </w:r>
          </w:p>
        </w:tc>
      </w:tr>
      <w:tr>
        <w:tc>
          <w:tcPr>
            <w:tcW w:type="dxa" w:w="2520"/>
          </w:tcPr>
          <w:p>
            <w:r>
              <w:rPr>
                <w:b/>
              </w:rPr>
              <w:t>Optional: Annual Managed Support</w:t>
            </w:r>
          </w:p>
        </w:tc>
        <w:tc>
          <w:tcPr>
            <w:tcW w:type="dxa" w:w="2520"/>
          </w:tcPr>
          <w:p>
            <w:r>
              <w:t>24x7 monitoring, patching, DBA tuning &amp; quarterly enhancements</w:t>
            </w:r>
          </w:p>
        </w:tc>
        <w:tc>
          <w:tcPr>
            <w:tcW w:type="dxa" w:w="2520"/>
          </w:tcPr>
          <w:p>
            <w:r>
              <w:t>$ [Insert/yr]</w:t>
            </w:r>
          </w:p>
        </w:tc>
        <w:tc>
          <w:tcPr>
            <w:tcW w:type="dxa" w:w="2520"/>
          </w:tcPr>
          <w:p>
            <w:r>
              <w:t>[12 Months]</w:t>
            </w:r>
          </w:p>
        </w:tc>
      </w:tr>
    </w:tbl>
    <w:sectPr w:rsidR="00FC693F" w:rsidRPr="0006063C" w:rsidSect="00034616">
      <w:headerReference w:type="default" r:id="rId9"/>
      <w:footerReference w:type="default" r:id="rId10"/>
      <w:pgSz w:w="12240" w:h="15840"/>
      <w:pgMar w:top="1080" w:right="1080" w:bottom="108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This site is designed by Viscosity.AI  |  Editable Microsoft Word (.docx) RFP Template (VNA-RFP-005)</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t>MODIFIABLE RFP TEMPLATE &amp; VENDOR Q&amp;A  |  VNA-RFP-005  |  https://coldfusion-to-oracle-apex.web.app/</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rPr>
      <w:sz w:val="17"/>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sz w:val="17"/>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